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E5" w:rsidRDefault="007B5FE5">
      <w:pPr>
        <w:pStyle w:val="ConsPlusNormal0"/>
        <w:jc w:val="both"/>
        <w:outlineLvl w:val="0"/>
      </w:pPr>
    </w:p>
    <w:p w:rsidR="007B5FE5" w:rsidRDefault="005F60DC">
      <w:pPr>
        <w:pStyle w:val="ConsPlusNormal0"/>
        <w:outlineLvl w:val="0"/>
      </w:pPr>
      <w:r>
        <w:t>Зарегистрировано в Минюсте России 11 декабря 2020 г. N 61391</w:t>
      </w:r>
    </w:p>
    <w:p w:rsidR="007B5FE5" w:rsidRDefault="007B5F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Title0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7B5FE5" w:rsidRDefault="005F60DC">
      <w:pPr>
        <w:pStyle w:val="ConsPlusTitle0"/>
        <w:jc w:val="center"/>
      </w:pPr>
      <w:r>
        <w:t>И АТОМНОМУ НАДЗОРУ</w:t>
      </w:r>
    </w:p>
    <w:p w:rsidR="007B5FE5" w:rsidRDefault="007B5FE5">
      <w:pPr>
        <w:pStyle w:val="ConsPlusTitle0"/>
        <w:jc w:val="center"/>
      </w:pPr>
    </w:p>
    <w:p w:rsidR="007B5FE5" w:rsidRDefault="005F60DC">
      <w:pPr>
        <w:pStyle w:val="ConsPlusTitle0"/>
        <w:jc w:val="center"/>
      </w:pPr>
      <w:r>
        <w:t>ПРИКАЗ</w:t>
      </w:r>
    </w:p>
    <w:p w:rsidR="007B5FE5" w:rsidRDefault="005F60DC">
      <w:pPr>
        <w:pStyle w:val="ConsPlusTitle0"/>
        <w:jc w:val="center"/>
      </w:pPr>
      <w:r>
        <w:t>от 20 октября 2020 г. N 420</w:t>
      </w:r>
    </w:p>
    <w:p w:rsidR="007B5FE5" w:rsidRDefault="007B5FE5">
      <w:pPr>
        <w:pStyle w:val="ConsPlusTitle0"/>
        <w:jc w:val="center"/>
      </w:pPr>
    </w:p>
    <w:p w:rsidR="007B5FE5" w:rsidRDefault="005F60DC">
      <w:pPr>
        <w:pStyle w:val="ConsPlusTitle0"/>
        <w:jc w:val="center"/>
      </w:pPr>
      <w:r>
        <w:t>ОБ УТВЕРЖДЕНИИ ФЕДЕРАЛЬНЫХ НОРМ И ПРАВИЛ</w:t>
      </w:r>
    </w:p>
    <w:p w:rsidR="007B5FE5" w:rsidRDefault="005F60DC">
      <w:pPr>
        <w:pStyle w:val="ConsPlusTitle0"/>
        <w:jc w:val="center"/>
      </w:pPr>
      <w:r>
        <w:t>В ОБЛАСТИ ПРОМЫШЛЕН</w:t>
      </w:r>
      <w:r>
        <w:t>НОЙ БЕЗОПАСНОСТИ "ПРАВИЛА ПРОВЕДЕНИЯ</w:t>
      </w:r>
    </w:p>
    <w:p w:rsidR="007B5FE5" w:rsidRDefault="005F60DC">
      <w:pPr>
        <w:pStyle w:val="ConsPlusTitle0"/>
        <w:jc w:val="center"/>
      </w:pPr>
      <w:r>
        <w:t>ЭКСПЕРТИЗЫ ПРОМЫШЛЕННОЙ БЕЗОПАСНОСТИ"</w:t>
      </w:r>
    </w:p>
    <w:p w:rsidR="007B5FE5" w:rsidRDefault="007B5F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B5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E5" w:rsidRDefault="005F60D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E5" w:rsidRDefault="005F60D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Ростехнадзора от 13.04.2022 </w:t>
            </w:r>
            <w:hyperlink r:id="rId7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5FE5" w:rsidRDefault="005F60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20.02.2024 </w:t>
            </w:r>
            <w:hyperlink r:id="rId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29.01.2025 </w:t>
            </w:r>
            <w:hyperlink r:id="rId9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</w:tr>
    </w:tbl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статьей 5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</w:t>
      </w:r>
      <w:r>
        <w:t xml:space="preserve">997, N 30, ст. 3588; 2018, N 31, ст. 4860), </w:t>
      </w:r>
      <w:hyperlink r:id="rId11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подпунктом 5.2.2.16(1)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</w:t>
      </w:r>
      <w:r>
        <w:t xml:space="preserve">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</w:t>
      </w:r>
      <w:proofErr w:type="gramStart"/>
      <w:r>
        <w:t>2020, N 27, ст. 4248), приказываю:</w:t>
      </w:r>
      <w:proofErr w:type="gramEnd"/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1. Утвердить прилагаемые федеральные </w:t>
      </w:r>
      <w:hyperlink w:anchor="P34" w:tooltip="ФЕДЕРАЛЬНЫЕ НОРМЫ И ПРАВИЛА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проведения экспертизы промышленной безопасности".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jc w:val="right"/>
      </w:pPr>
      <w:r>
        <w:t>Ру</w:t>
      </w:r>
      <w:r>
        <w:t>ководитель</w:t>
      </w:r>
    </w:p>
    <w:p w:rsidR="007B5FE5" w:rsidRDefault="005F60DC">
      <w:pPr>
        <w:pStyle w:val="ConsPlusNormal0"/>
        <w:jc w:val="right"/>
      </w:pPr>
      <w:r>
        <w:t>А.В.АЛЕШИН</w:t>
      </w:r>
    </w:p>
    <w:p w:rsidR="007B5FE5" w:rsidRDefault="007B5FE5">
      <w:pPr>
        <w:pStyle w:val="ConsPlusNormal0"/>
        <w:jc w:val="both"/>
      </w:pPr>
    </w:p>
    <w:p w:rsidR="007B5FE5" w:rsidRDefault="007B5FE5">
      <w:pPr>
        <w:pStyle w:val="ConsPlusNormal0"/>
        <w:jc w:val="both"/>
      </w:pPr>
    </w:p>
    <w:p w:rsidR="007B5FE5" w:rsidRDefault="007B5FE5">
      <w:pPr>
        <w:pStyle w:val="ConsPlusNormal0"/>
        <w:jc w:val="both"/>
      </w:pPr>
    </w:p>
    <w:p w:rsidR="007B5FE5" w:rsidRDefault="007B5FE5">
      <w:pPr>
        <w:pStyle w:val="ConsPlusNormal0"/>
        <w:jc w:val="both"/>
      </w:pP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jc w:val="right"/>
        <w:outlineLvl w:val="0"/>
      </w:pPr>
      <w:r>
        <w:t>Утверждены</w:t>
      </w:r>
    </w:p>
    <w:p w:rsidR="007B5FE5" w:rsidRDefault="005F60DC">
      <w:pPr>
        <w:pStyle w:val="ConsPlusNormal0"/>
        <w:jc w:val="right"/>
      </w:pPr>
      <w:r>
        <w:t>приказом Федеральной службы</w:t>
      </w:r>
    </w:p>
    <w:p w:rsidR="007B5FE5" w:rsidRDefault="005F60DC">
      <w:pPr>
        <w:pStyle w:val="ConsPlusNormal0"/>
        <w:jc w:val="right"/>
      </w:pPr>
      <w:r>
        <w:t>по экологическому, технологическому</w:t>
      </w:r>
    </w:p>
    <w:p w:rsidR="007B5FE5" w:rsidRDefault="005F60DC">
      <w:pPr>
        <w:pStyle w:val="ConsPlusNormal0"/>
        <w:jc w:val="right"/>
      </w:pPr>
      <w:r>
        <w:t>и атомному надзору</w:t>
      </w:r>
    </w:p>
    <w:p w:rsidR="007B5FE5" w:rsidRDefault="005F60DC">
      <w:pPr>
        <w:pStyle w:val="ConsPlusNormal0"/>
        <w:jc w:val="right"/>
      </w:pPr>
      <w:r>
        <w:t>от 20 октября 2020 г. N 420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Title0"/>
        <w:jc w:val="center"/>
      </w:pPr>
      <w:bookmarkStart w:id="0" w:name="P34"/>
      <w:bookmarkEnd w:id="0"/>
      <w:r>
        <w:t>ФЕДЕРАЛЬНЫЕ НОРМЫ И ПРАВИЛА</w:t>
      </w:r>
    </w:p>
    <w:p w:rsidR="007B5FE5" w:rsidRDefault="005F60DC">
      <w:pPr>
        <w:pStyle w:val="ConsPlusTitle0"/>
        <w:jc w:val="center"/>
      </w:pPr>
      <w:r>
        <w:t>В ОБЛАСТИ ПРОМЫШЛЕННОЙ БЕЗОПАСНОСТИ "ПРАВИЛА ПРОВЕДЕНИЯ</w:t>
      </w:r>
    </w:p>
    <w:p w:rsidR="007B5FE5" w:rsidRDefault="005F60DC">
      <w:pPr>
        <w:pStyle w:val="ConsPlusTitle0"/>
        <w:jc w:val="center"/>
      </w:pPr>
      <w:r>
        <w:t>ЭКСПЕРТИЗЫ ПРОМЫШЛЕННОЙ БЕЗОПАСНОСТИ"</w:t>
      </w:r>
    </w:p>
    <w:p w:rsidR="007B5FE5" w:rsidRDefault="007B5F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B5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E5" w:rsidRDefault="005F60D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E5" w:rsidRDefault="005F60D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Ростехнадзора от 13.04.2022 </w:t>
            </w:r>
            <w:hyperlink r:id="rId12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5FE5" w:rsidRDefault="005F60D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20.02.2024 </w:t>
            </w:r>
            <w:hyperlink r:id="rId13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29.01.2025 </w:t>
            </w:r>
            <w:hyperlink r:id="rId14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</w:tr>
    </w:tbl>
    <w:p w:rsidR="007B5FE5" w:rsidRDefault="007B5FE5">
      <w:pPr>
        <w:pStyle w:val="ConsPlusNormal0"/>
        <w:jc w:val="both"/>
      </w:pPr>
    </w:p>
    <w:p w:rsidR="007B5FE5" w:rsidRDefault="005F60DC">
      <w:pPr>
        <w:pStyle w:val="ConsPlusTitle0"/>
        <w:jc w:val="center"/>
        <w:outlineLvl w:val="1"/>
      </w:pPr>
      <w:r>
        <w:t>I. Общие положения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1. Федеральные нормы и правила в области промышленной безопасности "Правила проведения экспертизы промышленной безопасности" (далее - Правила) устанавливают процедуру проведения экспертизы промышленной безопасности (далее - экспертиза), требования к оформл</w:t>
      </w:r>
      <w:r>
        <w:t>ению заключения экспертизы и требования к экспертам в области промышленной безопасности (далее - эксперты).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2. Правила применяются при проведении экспертизы объектов, предусмотренных </w:t>
      </w:r>
      <w:hyperlink r:id="rId1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пунктом 1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(далее - объекты экспертизы).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Правила не применяются при проведении страховщиком экспертизы опасного объек</w:t>
      </w:r>
      <w:r>
        <w:t xml:space="preserve">та, предусмотренной </w:t>
      </w:r>
      <w:hyperlink r:id="rId16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подпунктом 1 пункта 1 статьи 12</w:t>
        </w:r>
      </w:hyperlink>
      <w:r>
        <w:t xml:space="preserve"> Федерального закона от 27 июля 2010 г. N 225-ФЗ "Об обязательном страховании</w:t>
      </w:r>
      <w:r>
        <w:t xml:space="preserve"> гражданской ответственности владельца опасного объекта за причинение вреда в результате аварии на опасном объекте" (Собрание законодательства Российской Федерации, 2010, N 31, ст. 4194;</w:t>
      </w:r>
      <w:proofErr w:type="gramEnd"/>
      <w:r>
        <w:t xml:space="preserve"> </w:t>
      </w:r>
      <w:proofErr w:type="gramStart"/>
      <w:r>
        <w:t>2018, N 52, ст. 8102).</w:t>
      </w:r>
      <w:proofErr w:type="gramEnd"/>
    </w:p>
    <w:p w:rsidR="007B5FE5" w:rsidRDefault="005F60DC">
      <w:pPr>
        <w:pStyle w:val="ConsPlusNormal0"/>
        <w:spacing w:before="240"/>
        <w:ind w:firstLine="540"/>
        <w:jc w:val="both"/>
      </w:pPr>
      <w:r>
        <w:t>4. Техническое устройство, применяемое на опас</w:t>
      </w:r>
      <w:r>
        <w:t>ном производственном объекте, подлежит экспертизе (если техническим регламентом не установлена иная форма оценки соответствия указанного устройства обязательным требованиям):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до начала применения на опасном производственном объекте;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по истечении срока служ</w:t>
      </w:r>
      <w:r>
        <w:t>бы или при превышении количества циклов нагрузки такого технического устройства, установленных его производителем;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при отсутствии в технической документации данных о сроке службы такого технического устройства, если фактический срок его службы превышает де</w:t>
      </w:r>
      <w:r>
        <w:t>сять лет;</w:t>
      </w:r>
    </w:p>
    <w:p w:rsidR="007B5FE5" w:rsidRDefault="005F60DC">
      <w:pPr>
        <w:pStyle w:val="ConsPlusNormal0"/>
        <w:jc w:val="both"/>
      </w:pPr>
      <w:r>
        <w:t xml:space="preserve">(в ред. </w:t>
      </w:r>
      <w:hyperlink r:id="rId17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после проведения работ, связанных с изменением конструкции, заменой</w:t>
      </w:r>
      <w:r>
        <w:t xml:space="preserve"> материала несущих элементов такого технического устройства, либо восстановительного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устройство. &lt;1&gt;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</w:t>
      </w:r>
      <w:r>
        <w:t>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2 статьи 7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5. Здания и сооружения на оп</w:t>
      </w:r>
      <w:r>
        <w:t>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аварий, подлежат экспертизе: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в случае истечения срока эксплуатации з</w:t>
      </w:r>
      <w:r>
        <w:t>дания или сооружения, установленного проектной документацией;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в случае отсутствия проектной документации, либо отсутствия в проектной документации данных о сроке эксплуатации здания или сооружения;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после аварии на опасном производственном объекте, в резуль</w:t>
      </w:r>
      <w:r>
        <w:t xml:space="preserve">тате которой были повреждены </w:t>
      </w:r>
      <w:bookmarkStart w:id="1" w:name="_GoBack"/>
      <w:bookmarkEnd w:id="1"/>
      <w:r>
        <w:t>несущие конструкции данных зданий и сооружений;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lastRenderedPageBreak/>
        <w:t>по истечении сроков безопасной эксплуатации, установленных заключениями экспертизы.</w:t>
      </w:r>
    </w:p>
    <w:p w:rsidR="007B5FE5" w:rsidRDefault="007B5F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B5F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E5" w:rsidRDefault="005F60D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B5FE5" w:rsidRDefault="005F60DC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экспертизы в отношении объектов организаций промышленности боеприпасов и спецхимии, включенных в реестр организаций оборонно-промышленного комплекса, в период СВО см. </w:t>
            </w:r>
            <w:hyperlink r:id="rId19" w:tooltip="Постановление Правительства РФ от 12.03.2022 N 353 (ред. от 26.08.2025) &quot;Об особенностях разрешительной деятельности в Российской Федерации&quot; ------------ Недействующая редакция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E5" w:rsidRDefault="007B5FE5">
            <w:pPr>
              <w:pStyle w:val="ConsPlusNormal0"/>
            </w:pPr>
          </w:p>
        </w:tc>
      </w:tr>
    </w:tbl>
    <w:p w:rsidR="007B5FE5" w:rsidRDefault="005F60DC">
      <w:pPr>
        <w:pStyle w:val="ConsPlusNormal0"/>
        <w:spacing w:before="300"/>
        <w:ind w:firstLine="540"/>
        <w:jc w:val="both"/>
      </w:pPr>
      <w:r>
        <w:t>6. Экспертиза технических устройств, зданий и сооружений на опасных производственных объектах, используемых в интересах обороны и безопасности государства, производится с учетом требований законодательства Российской Федерации об обороне и о защите государ</w:t>
      </w:r>
      <w:r>
        <w:t>ственной тайны.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Title0"/>
        <w:jc w:val="center"/>
        <w:outlineLvl w:val="1"/>
      </w:pPr>
      <w:r>
        <w:t>II. Требования к экспертам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 xml:space="preserve">7. </w:t>
      </w:r>
      <w:proofErr w:type="gramStart"/>
      <w:r>
        <w:t xml:space="preserve">Эксперт в области промышленной безопасности (далее - эксперт) - физическое лицо, которое соответствует квалификационным требованиям профессионального стандарта либо аттестовано в установленном Правительством </w:t>
      </w:r>
      <w:r>
        <w:t>Российской Федерации порядке &lt;2&gt;, обладает специальными знаниями в области промышленной безопасности и соответствует требованиям, установленным федеральными нормами и правилами в области промышленной безопасности &lt;3&gt;.</w:t>
      </w:r>
      <w:proofErr w:type="gramEnd"/>
    </w:p>
    <w:p w:rsidR="007B5FE5" w:rsidRDefault="005F60DC">
      <w:pPr>
        <w:pStyle w:val="ConsPlusNormal0"/>
        <w:jc w:val="both"/>
      </w:pPr>
      <w:r>
        <w:t xml:space="preserve">(п. 7 в ред. </w:t>
      </w:r>
      <w:hyperlink r:id="rId20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1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</w:t>
        </w:r>
      </w:hyperlink>
      <w:r>
        <w:t xml:space="preserve"> об аттестации экспертов в области промышленной безопасности, утвержденное постановлением Правительства Российской Федерации от 2 июня 2022 г. </w:t>
      </w:r>
      <w:r>
        <w:t>N 1009 (далее - Положение).</w:t>
      </w:r>
    </w:p>
    <w:p w:rsidR="007B5FE5" w:rsidRDefault="005F60DC">
      <w:pPr>
        <w:pStyle w:val="ConsPlusNormal0"/>
        <w:jc w:val="both"/>
      </w:pPr>
      <w:r>
        <w:t xml:space="preserve">(сноска в ред. </w:t>
      </w:r>
      <w:hyperlink r:id="rId22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Абзац одиннадцатый статьи 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5F60DC">
      <w:pPr>
        <w:pStyle w:val="ConsPlusNormal0"/>
        <w:jc w:val="both"/>
      </w:pPr>
      <w:r>
        <w:t xml:space="preserve">(сноска в ред. </w:t>
      </w:r>
      <w:hyperlink r:id="rId24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8. Эксперт первой категории &lt;4&gt; должен соответствовать следующим требованиям: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5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7B5FE5" w:rsidRDefault="005F60DC">
      <w:pPr>
        <w:pStyle w:val="ConsPlusNormal0"/>
        <w:jc w:val="both"/>
      </w:pPr>
      <w:r>
        <w:t xml:space="preserve">(сноска в ред. </w:t>
      </w:r>
      <w:hyperlink r:id="rId26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1) иметь высшее образование;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иметь стаж работы не менее 10 лет по специальности, соответствующей его области (областям) аттестации;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3) знать нормативные правовые акты Российской Федерации в области </w:t>
      </w:r>
      <w:r>
        <w:t>промышленной безопасности, средства измерений и оборудование, а также методы технического диагностирования, неразрушающего и разрушающего контроля технических устройств, обследования зданий и сооружений, оценки риска аварии на опасном производственном объе</w:t>
      </w:r>
      <w:r>
        <w:t>кте и связанных с ней угроз негативных последствий, необходимых для осуществления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4) иметь опыт проведения не менее 15 экспертиз.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lastRenderedPageBreak/>
        <w:t>9. Эксперт второй категории &lt;5&gt; должен соответствовать следующим требованиям: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&lt;5&gt;</w:t>
      </w:r>
      <w:r>
        <w:t xml:space="preserve"> </w:t>
      </w:r>
      <w:hyperlink r:id="rId27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7B5FE5" w:rsidRDefault="005F60DC">
      <w:pPr>
        <w:pStyle w:val="ConsPlusNormal0"/>
        <w:jc w:val="both"/>
      </w:pPr>
      <w:r>
        <w:t xml:space="preserve">(сноска в ред. </w:t>
      </w:r>
      <w:hyperlink r:id="rId28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1) иметь высшее образование;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иметь стаж работы не менее 7 лет по специальности, соо</w:t>
      </w:r>
      <w:r>
        <w:t>тветствующей его области (областям) аттестации;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3) знать нормативные правовые акты Российской Федерации в области промышленной безопасности, средства измерений и оборудование, а также методы технического диагностирования, неразрушающего и разрушающего конт</w:t>
      </w:r>
      <w:r>
        <w:t>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4) иметь опыт проведения не менее 10 экспертиз.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10. Эксперт третьей категории &lt;6&gt; должен соответствовать следующим требованиям: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9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Подпункт "а" пункта 36</w:t>
        </w:r>
      </w:hyperlink>
      <w:r>
        <w:t xml:space="preserve"> Положения.</w:t>
      </w:r>
    </w:p>
    <w:p w:rsidR="007B5FE5" w:rsidRDefault="005F60DC">
      <w:pPr>
        <w:pStyle w:val="ConsPlusNormal0"/>
        <w:jc w:val="both"/>
      </w:pPr>
      <w:r>
        <w:t xml:space="preserve">(сноска в ред. </w:t>
      </w:r>
      <w:hyperlink r:id="rId30" w:tooltip="Приказ Ростехнадзора от 20.02.2024 N 6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20.02.2024 N 60)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1) иметь высшее образование;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иметь стаж работы не менее 5 лет по специальности, соо</w:t>
      </w:r>
      <w:r>
        <w:t>тветствующей его области (областям) аттестации;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3) знать нормативные правовые акты Российской Федерации в области промышленной безопасности, средства измерений и оборудование, а также методов технического диагностирования, неразрушающего и разрушающего кон</w:t>
      </w:r>
      <w:r>
        <w:t>троля технических устройств, обследования зданий и сооружений, оценки риска аварии на опасном производственном объекте и связанных с ней угроз негативных последствий, необходимых для осуществления экспертизы.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11. Эксперту запрещается участвовать в проведен</w:t>
      </w:r>
      <w:r>
        <w:t>ии экспертизы в отношении опасных производственных объектов, принадлежащих на праве собственности или ином законном основании организации, в трудовых отношениях с которой он состоит. &lt;7&gt;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10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Эксперт, которому известны обстоятельства, препятствующие его привл</w:t>
      </w:r>
      <w:r>
        <w:t xml:space="preserve">ечению к проведению экспертизы либо не позволяющие ему соблюдать принципы ее проведения, установленные </w:t>
      </w:r>
      <w:hyperlink w:anchor="P114" w:tooltip="1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">
        <w:r>
          <w:rPr>
            <w:color w:val="0000FF"/>
          </w:rPr>
          <w:t>пунктом 13</w:t>
        </w:r>
      </w:hyperlink>
      <w:r>
        <w:t xml:space="preserve"> настоящих Правил, не должен участвовать в проведении экспертизы.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12. Эксперты обязаны: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определять соответ</w:t>
      </w:r>
      <w:r>
        <w:t xml:space="preserve">ствие объектов экспертизы промышленной безопасности требованиям </w:t>
      </w:r>
      <w:r>
        <w:lastRenderedPageBreak/>
        <w:t>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</w:t>
      </w:r>
      <w:r>
        <w:t>роизводственных объектах,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обеспечивать о</w:t>
      </w:r>
      <w:r>
        <w:t>бъективность и обоснованность выводов заключения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обеспечивать сохранность документов и конфиденциальность сведений, представленных на экспертизу. &lt;8&gt;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9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Title0"/>
        <w:jc w:val="center"/>
        <w:outlineLvl w:val="1"/>
      </w:pPr>
      <w:r>
        <w:t>III. Проведение экспертизы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bookmarkStart w:id="2" w:name="P114"/>
      <w:bookmarkEnd w:id="2"/>
      <w:r>
        <w:t>13. Экспертиза проводится с целью определения соответствия объект</w:t>
      </w:r>
      <w:r>
        <w:t>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использованием современных достижений науки и техники. &lt;9&gt;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</w:t>
      </w:r>
      <w:r>
        <w:t>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3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3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14. Срок прове</w:t>
      </w:r>
      <w:r>
        <w:t>дения экспертизы определяется сложностью объекта экспертизы, но не должен превышать трех месяцев со дня получения экспертной организацией от заказчика экспертизы (далее - заказчик) комплекта необходимых материалов и документов. Срок проведения экспертизы м</w:t>
      </w:r>
      <w:r>
        <w:t>ожет быть продлен по соглашению сторон.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15. Экспертизу проводят организации, имеющие лицензию на деятельность по проведению экспертизы промышленной безопасности, за счет средств ее заказчика. &lt;10&gt;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2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 xml:space="preserve">16. </w:t>
      </w:r>
      <w:proofErr w:type="gramStart"/>
      <w:r>
        <w:t>Организации, имеющей лицензию на п</w:t>
      </w:r>
      <w:r>
        <w:t>роведение экспертизы промышленной безопасности, запрещается проводить данную экспертизу в отношении опасных производственных объектов, принадлежащих на праве собственности или ином законном основании ей или лицам, входящим с ней в одну группу лиц в соответ</w:t>
      </w:r>
      <w:r>
        <w:t>ствии с антимонопольным законодательством Российской Федерации, а также в отношении иных объектов экспертизы, связанных с такими опасными производственными объектами, и объектов экспертизы, указанных в</w:t>
      </w:r>
      <w:proofErr w:type="gramEnd"/>
      <w:r>
        <w:t xml:space="preserve"> </w:t>
      </w:r>
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proofErr w:type="gramStart"/>
        <w:r>
          <w:rPr>
            <w:color w:val="0000FF"/>
          </w:rPr>
          <w:t>абзацах</w:t>
        </w:r>
        <w:proofErr w:type="gramEnd"/>
        <w:r>
          <w:rPr>
            <w:color w:val="0000FF"/>
          </w:rPr>
          <w:t xml:space="preserve"> втором</w:t>
        </w:r>
      </w:hyperlink>
      <w:r>
        <w:t xml:space="preserve">, </w:t>
      </w:r>
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третьем</w:t>
        </w:r>
      </w:hyperlink>
      <w:r>
        <w:t xml:space="preserve">, </w:t>
      </w:r>
      <w:hyperlink r:id="rId3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шестом</w:t>
        </w:r>
      </w:hyperlink>
      <w:r>
        <w:t xml:space="preserve">, </w:t>
      </w:r>
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седьмом пункта 1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объектов", разработчиком которых являлась такая орга</w:t>
      </w:r>
      <w:r>
        <w:t>низация. Заключение экспертизы, составленное с нарушением данного требования, не может быть использовано для целей, установленных законодательством Российской Федерации. &lt;11&gt;</w:t>
      </w:r>
    </w:p>
    <w:p w:rsidR="007B5FE5" w:rsidRDefault="005F60DC">
      <w:pPr>
        <w:pStyle w:val="ConsPlusNormal0"/>
        <w:jc w:val="both"/>
      </w:pPr>
      <w:r>
        <w:lastRenderedPageBreak/>
        <w:t xml:space="preserve">(в ред. </w:t>
      </w:r>
      <w:hyperlink r:id="rId39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4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4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3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5F60DC">
      <w:pPr>
        <w:pStyle w:val="ConsPlusNormal0"/>
        <w:jc w:val="both"/>
      </w:pPr>
      <w:r>
        <w:t xml:space="preserve">(сноска в ред. </w:t>
      </w:r>
      <w:hyperlink r:id="rId42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17. Руководителем организации, проводящей экспертизу, в письменной форме либо в форме электронного документа, подписанного электронно</w:t>
      </w:r>
      <w:r>
        <w:t xml:space="preserve">й подписью в соответствии с Федеральным </w:t>
      </w:r>
      <w:hyperlink r:id="rId43" w:tooltip="Федеральный закон от 06.04.2011 N 63-ФЗ (ред. от 28.12.2024) &quot;Об электронной подпис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подписи", определяются участвующие в проведении экспертизы эксперт или группа экспертов, область аттестации которых соответствует объекту экспертизы.</w:t>
      </w:r>
    </w:p>
    <w:p w:rsidR="007B5FE5" w:rsidRDefault="005F60D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В случае участия в экспертизе группы экспертов, может быть определен руководитель группы экспертов, обесп</w:t>
      </w:r>
      <w:r>
        <w:t>ечивающий обобщение результатов, своевременность проведения экспертизы и подготовку заключения экспертизы. Область аттестации руководителя группы экспертов должна соответствовать объекту экспертизы.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18. В проведении экспертизы в отношении опасных производс</w:t>
      </w:r>
      <w:r>
        <w:t xml:space="preserve">твенных объектов I класса опасности вправе участвовать эксперты первой категории, аттестованные в области аттестации, соответствующей объекту экспертизы, в порядке, установленном </w:t>
      </w:r>
      <w:hyperlink r:id="rId45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Положением</w:t>
        </w:r>
      </w:hyperlink>
      <w:r>
        <w:t>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19. В проведении экспертизы в отношении опасных производственных объектов II класса опасности &lt;12&gt; вправе участвовать эксперты первой и (или) второй категории, аттестованные в области аттестации, соответствующей объ</w:t>
      </w:r>
      <w:r>
        <w:t xml:space="preserve">екту экспертизы, в порядке, установленном </w:t>
      </w:r>
      <w:hyperlink r:id="rId46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Положением</w:t>
        </w:r>
      </w:hyperlink>
      <w:r>
        <w:t>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4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3 статьи 2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20. В проведении экспертизы в отношении опасных производственных объектов III и IV классов опасности &lt;13&gt; вправе участвовать эксперты первой, и (или) второй, и (или) третьей категории, аттестованные в области аттестации, соответствующей объекту экспертизы,</w:t>
      </w:r>
      <w:r>
        <w:t xml:space="preserve"> в порядке, установленном </w:t>
      </w:r>
      <w:hyperlink r:id="rId48" w:tooltip="Постановление Правительства РФ от 02.06.2022 N 1009 (ред. от 09.09.2023) &quot;Об аттестации экспертов в области промышленной безопасности&quot; (вместе с &quot;Положением об аттестации экспертов в области промышленной безопасности&quot;) {КонсультантПлюс}">
        <w:r>
          <w:rPr>
            <w:color w:val="0000FF"/>
          </w:rPr>
          <w:t>Положением</w:t>
        </w:r>
      </w:hyperlink>
      <w:r>
        <w:t>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4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3 статьи 2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21. Экспертная организация приступает к проведению экспертизы после: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предоставления заказчиком необходимых для п</w:t>
      </w:r>
      <w:r>
        <w:t>роведения экспертизы документов;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предоставления образцов технических устройств либо обеспечения доступа экспертов к техническим устройствам, зданиям и сооружениям, применяемым на опасном производственном объекте.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22. Заказчик обязан предоставить безопасный</w:t>
      </w:r>
      <w:r>
        <w:t xml:space="preserve"> доступ экспертам, участвующим в проведении экспертизы, к техническим устройствам, применяемым на опасном производственном объекте, к </w:t>
      </w:r>
      <w:r>
        <w:lastRenderedPageBreak/>
        <w:t>зданиям и сооружениям опасных производственных объектов, в отношении которых проводится экспертиза.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Эксперты, участвующие </w:t>
      </w:r>
      <w:r>
        <w:t>в проведении экспертизы, обязаны 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установленные заказчиком.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23. При проведении экспертиз</w:t>
      </w:r>
      <w:r>
        <w:t>ы устанавливается полнота и достоверность относящихся к объекту экспертизы документов, предоставленных заказчиком, оценивается фактическое состояние технических устройств, зданий и сооружений на опасных производственных объектах. При оценке фактического со</w:t>
      </w:r>
      <w:r>
        <w:t>стояния технических устройств, зданий и сооружений на опасных производственных объектах допускается использование информации автоматизированных систем мониторинга их технического состояния, применяемых юридическим лицом (индивидуальным предпринимателем), э</w:t>
      </w:r>
      <w:r>
        <w:t>ксплуатирующим опасный производственный объект.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Для оценки фактического состояния зданий и сооружений проводится их обследование.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Техническое диагностирование технических устрой</w:t>
      </w:r>
      <w:proofErr w:type="gramStart"/>
      <w:r>
        <w:t>ств пр</w:t>
      </w:r>
      <w:proofErr w:type="gramEnd"/>
      <w:r>
        <w:t>оводится для оценки фактического состояния технических устройств в следующих случаях: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при проведении экспертизы по истечении срока службы или при превышении количества циклов нагрузки такого техническ</w:t>
      </w:r>
      <w:r>
        <w:t>ого устройства, установленных его производителем, либо 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при проведении экспертизы после проведения восс</w:t>
      </w:r>
      <w:r>
        <w:t>тановительного ремонта после аварии или инцидента на опасном производственном объекте, в результате которых было повреждено такое техническое устройство;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3) при обнаружении экспертами дефектов, способных повлиять на прочность конструкции, или дефектов неиз</w:t>
      </w:r>
      <w:r>
        <w:t>вестного происхождения.</w:t>
      </w:r>
    </w:p>
    <w:p w:rsidR="007B5FE5" w:rsidRDefault="005F60DC">
      <w:pPr>
        <w:pStyle w:val="ConsPlusNormal0"/>
        <w:jc w:val="both"/>
      </w:pPr>
      <w:r>
        <w:t xml:space="preserve">(п. 23 в ред. </w:t>
      </w:r>
      <w:hyperlink r:id="rId50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24. При проведении экспертизы технических устро</w:t>
      </w:r>
      <w:r>
        <w:t>йств экспертом (экспертами) выполняются: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</w:t>
      </w:r>
      <w:r>
        <w:t>имам эксплуатации технических устройств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осмотр технических устройств.</w:t>
      </w:r>
    </w:p>
    <w:p w:rsidR="007B5FE5" w:rsidRDefault="005F60DC">
      <w:pPr>
        <w:pStyle w:val="ConsPlusNormal0"/>
        <w:jc w:val="both"/>
      </w:pPr>
      <w:r>
        <w:t xml:space="preserve">(п. 24 в ред. </w:t>
      </w:r>
      <w:hyperlink r:id="rId51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</w:t>
      </w:r>
      <w:r>
        <w:t>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25. Техническое диагностирование технических устройств должно включать следующие мероприятия: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визуальный и измерительный контроль;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оперативное (функциональное) диагностирование для получения информации о состоянии, фактических параме</w:t>
      </w:r>
      <w:r>
        <w:t xml:space="preserve">трах работы, фактического </w:t>
      </w:r>
      <w:proofErr w:type="spellStart"/>
      <w:r>
        <w:t>нагружения</w:t>
      </w:r>
      <w:proofErr w:type="spellEnd"/>
      <w:r>
        <w:t xml:space="preserve"> технического устройства в реальных условиях эксплуатации;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3) определение повреждающих факторов, механизмов повреждения и восприимчивости </w:t>
      </w:r>
      <w:r>
        <w:lastRenderedPageBreak/>
        <w:t>материала технического устройства к механизмам повреждения;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4) оценку качества сое</w:t>
      </w:r>
      <w:r>
        <w:t>динений элементов технического устройства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5) выбор методов неразрушающего или разрушающего контроля, наиболее эффективно выявляющих дефекты, образующиеся в результате воздействия установленных механизмов повреждения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6) неразру</w:t>
      </w:r>
      <w:r>
        <w:t>шающий контроль или разрушающий контроль металла и сварных соединений технического устройства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7) оценку выявленных дефектов на основании результатов визуального и измерительного контроля, методов неразрушающего или разрушающего контроля;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8) </w:t>
      </w:r>
      <w:r>
        <w:t>исследование материалов технического устройства;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9) расчетные и аналитические процедуры оценки и прогнозирования технического состояния технического устройства, включающие анализ режимов работы и исследование напряженно-деформированного состояния;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10) оцен</w:t>
      </w:r>
      <w:r>
        <w:t>ку остаточного ресурса (срока службы).</w:t>
      </w:r>
    </w:p>
    <w:p w:rsidR="007B5FE5" w:rsidRDefault="005F60DC">
      <w:pPr>
        <w:pStyle w:val="ConsPlusNormal0"/>
        <w:jc w:val="both"/>
      </w:pPr>
      <w:r>
        <w:t xml:space="preserve">(п. 25 в ред. </w:t>
      </w:r>
      <w:hyperlink r:id="rId52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26. При проведении экспертизы зд</w:t>
      </w:r>
      <w:r>
        <w:t>аний и сооружений экспертом (экспертами) выполняются: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анализ: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проектной и исполнительной документации на строительство, реконструкцию здания (сооружения), разрешения на ввод в эксплуатацию здания (сооружения);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документов, удостоверяющих качество строительных конструкций и материалов;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актов расследования аварий;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заключений ранее проводимых экспертиз здания (сооружения);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эксплуатационной документации, документации о текущих и капитальных ремонтах, документации об изменениях конструкций зданий (сооружений);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осмотр зданий и сооружений.</w:t>
      </w:r>
    </w:p>
    <w:p w:rsidR="007B5FE5" w:rsidRDefault="005F60DC">
      <w:pPr>
        <w:pStyle w:val="ConsPlusNormal0"/>
        <w:jc w:val="both"/>
      </w:pPr>
      <w:r>
        <w:t xml:space="preserve">(п. 26 в ред. </w:t>
      </w:r>
      <w:hyperlink r:id="rId53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27. Обследование зданий и сооружений должно включать следующие мероприятия: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определение соответствия строительных конструкций зданий и сооружений проектной</w:t>
      </w:r>
      <w:r>
        <w:t xml:space="preserve"> документации и требованиям нормативных правовых актов и документов по стандартизации &lt;13(1)&gt;, выявление дефектов и повреждений элементов и узлов конструкций зданий и сооружений с составлением ведомостей дефектов и повреждений;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</w:t>
      </w:r>
      <w:r>
        <w:t>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&lt;13(1)&gt; </w:t>
      </w:r>
      <w:hyperlink r:id="rId54" w:tooltip="Федеральный закон от 29.06.2015 N 162-ФЗ (ред. от 30.12.2020) &quot;О стандартизации в Российской Федерации&quot;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июня 2015 г. N 162-ФЗ "О стандартизации в Российской Федерации".</w:t>
      </w:r>
    </w:p>
    <w:p w:rsidR="007B5FE5" w:rsidRDefault="007B5FE5">
      <w:pPr>
        <w:pStyle w:val="ConsPlusNormal0"/>
        <w:ind w:firstLine="540"/>
        <w:jc w:val="both"/>
      </w:pPr>
    </w:p>
    <w:p w:rsidR="007B5FE5" w:rsidRDefault="005F60DC">
      <w:pPr>
        <w:pStyle w:val="ConsPlusNormal0"/>
        <w:ind w:firstLine="540"/>
        <w:jc w:val="both"/>
      </w:pPr>
      <w:r>
        <w:t xml:space="preserve">2) определение пространственного положения строительных конструкций зданий и </w:t>
      </w:r>
      <w:r>
        <w:lastRenderedPageBreak/>
        <w:t>сооружений, их фактических сечений и состояния соединений;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3) определение с</w:t>
      </w:r>
      <w:r>
        <w:t>тепени влияния гидрологических, аэрологических и атмосферных воздействий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4) определение фактической прочности материалов и строительных конструкций зданий и сооружений в сравнении с проектными параметрами;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5) оценку соответствия площади и ве</w:t>
      </w:r>
      <w:r>
        <w:t xml:space="preserve">совых характеристик </w:t>
      </w:r>
      <w:proofErr w:type="spellStart"/>
      <w:r>
        <w:t>легкосбрасываемых</w:t>
      </w:r>
      <w:proofErr w:type="spellEnd"/>
      <w:r>
        <w:t xml:space="preserve"> конструкций зданий и сооружений требуемой величине, обеспечивающей </w:t>
      </w:r>
      <w:proofErr w:type="spellStart"/>
      <w:r>
        <w:t>взрывоустойчивость</w:t>
      </w:r>
      <w:proofErr w:type="spellEnd"/>
      <w:r>
        <w:t xml:space="preserve"> объекта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6) изучение химической агрессивности производственной среды в отношении материалов строительных конструкций з</w:t>
      </w:r>
      <w:r>
        <w:t>даний и сооружений;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7) определение степени коррозии арматуры и металлических элементов строительных конструкций (при наличии);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8) поверочный расчет строительных конструкций зданий и сооружений, учитывающий выявленные при обследовании отклонения, дефекты и </w:t>
      </w:r>
      <w:r>
        <w:t>повреждения, фактические (или прогнозируемые) нагрузки и свойства материалов этих конструкций;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9) оценку остаточной несущей способности и пригодности зданий и сооружений к дальнейшей эксплуатации.</w:t>
      </w:r>
    </w:p>
    <w:p w:rsidR="007B5FE5" w:rsidRDefault="005F60DC">
      <w:pPr>
        <w:pStyle w:val="ConsPlusNormal0"/>
        <w:jc w:val="both"/>
      </w:pPr>
      <w:r>
        <w:t xml:space="preserve">(п. 27 в ред. </w:t>
      </w:r>
      <w:hyperlink r:id="rId55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28. При экспертизе документации на консервацию, ликвидацию опасного производственного объекта выполняется анализ мероприятий, напр</w:t>
      </w:r>
      <w:r>
        <w:t>авленных на обеспечение промышленной безопасности при остановке объекта, а также исключение аварий и инцидентов при осуществлении работ по консервации, ликвидации опасного производственного объекта.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29. При экспертизе документации на техническое перевооруж</w:t>
      </w:r>
      <w:r>
        <w:t>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деятельности, выполняется анализ принятых т</w:t>
      </w:r>
      <w:r>
        <w:t>ехнических решений и мероприятий на предмет их соответствия действующим требованиям промышленной безопасности.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30. Экспертная организация вправе привлекать к проведению технического диагностирования, неразрушающего контроля, разрушающего контроля техническ</w:t>
      </w:r>
      <w:r>
        <w:t>их устройств, а также к проведению обследований зданий и сооружений иные организации или лиц, владеющих необходимым оборудованием для проведения указанных работ.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В случаях, когда заказчик имеет в своем штате специалистов по техническому диагностированию, о</w:t>
      </w:r>
      <w:r>
        <w:t>бследованию зданий и сооружений, неразрушающему контролю, разрушающему контролю, допускается привлекать данных специалистов заказчика к выполнению этих работ и учитывать результаты работ, выполненных указанными специалистами при оформлении заключения экспе</w:t>
      </w:r>
      <w:r>
        <w:t>ртизы. При этом в заключени</w:t>
      </w:r>
      <w:proofErr w:type="gramStart"/>
      <w:r>
        <w:t>и</w:t>
      </w:r>
      <w:proofErr w:type="gramEnd"/>
      <w:r>
        <w:t xml:space="preserve"> экспертизы должны указываться виды работ, выполняемые специалистами заказчика.</w:t>
      </w:r>
    </w:p>
    <w:p w:rsidR="007B5FE5" w:rsidRDefault="005F60DC">
      <w:pPr>
        <w:pStyle w:val="ConsPlusNormal0"/>
        <w:spacing w:before="240"/>
        <w:ind w:firstLine="540"/>
        <w:jc w:val="both"/>
      </w:pPr>
      <w:bookmarkStart w:id="3" w:name="P196"/>
      <w:bookmarkEnd w:id="3"/>
      <w:r>
        <w:t>31. Акты по результатам проведения технического диагностирования, неразрушающего контроля, разрушающего контроля технических устройств, обследования</w:t>
      </w:r>
      <w:r>
        <w:t xml:space="preserve"> зданий и сооружений составляются и подписываются лицами, проводившими работы, и руководителем проводившей их организации или руководителем организации, проводящей экспертизу, и прикладываются к </w:t>
      </w:r>
      <w:r>
        <w:lastRenderedPageBreak/>
        <w:t>заключению экспертизы.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Title0"/>
        <w:jc w:val="center"/>
        <w:outlineLvl w:val="1"/>
      </w:pPr>
      <w:r>
        <w:t>IV. Оформление заключения экспертизы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 xml:space="preserve">32. </w:t>
      </w:r>
      <w:proofErr w:type="gramStart"/>
      <w:r>
        <w:t>Результатом проведения экспертизы является заключение в письменной форме,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либо в форме электронно</w:t>
      </w:r>
      <w:r>
        <w:t>го документа, подписанного квалифицированными электронными подписями руководителя организации, проводившей экспертизу, и эксперта (экспертов), участвовавшего (участвовавших) в проведении экспертизы. &lt;14&gt;</w:t>
      </w:r>
      <w:proofErr w:type="gramEnd"/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5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4 статьи 13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5F60DC">
      <w:pPr>
        <w:pStyle w:val="ConsPlusNormal0"/>
        <w:ind w:firstLine="540"/>
        <w:jc w:val="both"/>
      </w:pPr>
      <w:r>
        <w:t>33. Экспертная организация должна осуществлять уче</w:t>
      </w:r>
      <w:r>
        <w:t>т выданных заключений экспертизы и хранить их копии.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34. Заключение экспертизы должно содержать: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титульный лист с указанием наименования заключения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вводную часть, включающую: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указание на конкретные структурные единицы нормативных правовых</w:t>
      </w:r>
      <w:r>
        <w:t xml:space="preserve"> актов в области промышленной безопасности (пункт, подпункт, часть, статья) на соответствие которым проводится оценка соответствия объекта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сведения об экспертной организации (наименование организации, ее организационно-правовая форма, дата выда</w:t>
      </w:r>
      <w:r>
        <w:t>чи лицензии на деятельность по проведению экспертизы промышленной безопасности, ее номер);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сведения об экспертах, принимавших участие в проведении экспертизы (фамилия, имя, отчество (при наличии), регистрационный номер квалификационного удостоверения экспе</w:t>
      </w:r>
      <w:r>
        <w:t>рта);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3) наименование объекта экспертизы, на который распространяется действие заключения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4) данные о заказчике (наименование организации, ее организационно-правовая форма);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5) цель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proofErr w:type="gramStart"/>
      <w:r>
        <w:t>6) сведения о рассмотренных в процессе экспертизы документах с указанием объема материалов, имеющих шифр, номер, марку или другую индикацию, необходимую для идентификации, и (или) информацию об отсутствии (непредставлении) технической документации на техни</w:t>
      </w:r>
      <w:r>
        <w:t>ческие устройства, проектной документации на здания или сооружения (с указанием причин, в том числе в случае утраты или порчи такой документации), сведения об информации автоматизированных систем мониторинга технического состояния</w:t>
      </w:r>
      <w:proofErr w:type="gramEnd"/>
      <w:r>
        <w:t xml:space="preserve"> технических устройств, зд</w:t>
      </w:r>
      <w:r>
        <w:t>аний и сооружений на опасных производственных объектах экспертизы;</w:t>
      </w:r>
    </w:p>
    <w:p w:rsidR="007B5FE5" w:rsidRDefault="005F60DC">
      <w:pPr>
        <w:pStyle w:val="ConsPlusNormal0"/>
        <w:jc w:val="both"/>
      </w:pPr>
      <w:r>
        <w:t xml:space="preserve">(в ред. Приказов Ростехнадзора от 13.04.2022 </w:t>
      </w:r>
      <w:hyperlink r:id="rId57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N 120</w:t>
        </w:r>
      </w:hyperlink>
      <w:r>
        <w:t>, от 29.01</w:t>
      </w:r>
      <w:r>
        <w:t xml:space="preserve">.2025 </w:t>
      </w:r>
      <w:hyperlink r:id="rId58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N 29</w:t>
        </w:r>
      </w:hyperlink>
      <w:r>
        <w:t>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7) краткую характеристику и назначение объекта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lastRenderedPageBreak/>
        <w:t>8) результаты проведенной экспертизы со ссылками на конк</w:t>
      </w:r>
      <w:r>
        <w:t>ретные структурные единицы нормативных правовых актов в области промышленной безопасности;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9) выводы заключения экспертизы;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10) приложения, предусмотренные </w:t>
      </w:r>
      <w:hyperlink w:anchor="P196" w:tooltip="31. Акты по результатам проведения технического диагностирования, неразрушающего контроля, разрушающего контроля технических устройств, обследования зданий и сооружений составляются и подписываются лицами, проводившими работы, и руководителем проводившей их ор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11) сведения о проведенных меропри</w:t>
      </w:r>
      <w:r>
        <w:t>ятиях и о результатах технического диагностирования технических устройств, обследования зданий и сооружений (при их проведении).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35. Заключение экспертизы должно содержать один из следующих выводов о соответствии объекта экспертизы требованиям промышленной</w:t>
      </w:r>
      <w:r>
        <w:t xml:space="preserve"> безопасности (кроме экспертизы декларации промышленной безопасности):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1) объект экспертизы соответствует требованиям промышленной безопасности;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2) объект экспертизы не соответствует требованиям промышленной безопасности.</w:t>
      </w:r>
    </w:p>
    <w:p w:rsidR="007B5FE5" w:rsidRDefault="005F60DC">
      <w:pPr>
        <w:pStyle w:val="ConsPlusNormal0"/>
        <w:jc w:val="both"/>
      </w:pPr>
      <w:r>
        <w:t xml:space="preserve">(п. 35 в ред. </w:t>
      </w:r>
      <w:hyperlink r:id="rId59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Приказа</w:t>
        </w:r>
      </w:hyperlink>
      <w:r>
        <w:t xml:space="preserve"> Ростехнадзора от 13.04.2022 N 120)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36. По результатам экспертизы технического устройства, зданий и сооружений опасных производственных объе</w:t>
      </w:r>
      <w:r>
        <w:t>ктов в заключени</w:t>
      </w:r>
      <w:proofErr w:type="gramStart"/>
      <w:r>
        <w:t>и</w:t>
      </w:r>
      <w:proofErr w:type="gramEnd"/>
      <w:r>
        <w:t xml:space="preserve"> экспертизы должны дополнительно приводиться сведения о расчетных и аналитических процедурах оценки и прогнозирования технического состояния объекта экспертизы, включающие определение остаточного ресурса (срока службы) с отражением в вывод</w:t>
      </w:r>
      <w:r>
        <w:t>ах заключения экспертизы установленного срока дальнейшей безопасной эксплуатации объекта экспертизы, с указанием условий дальнейшей безопасной эксплуатации.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37. По результатам проведения экспертизы декларации промышленной безопасности в заключени</w:t>
      </w:r>
      <w:proofErr w:type="gramStart"/>
      <w:r>
        <w:t>и</w:t>
      </w:r>
      <w:proofErr w:type="gramEnd"/>
      <w:r>
        <w:t xml:space="preserve"> экспертизы должны содержаться следующие выводы: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об обоснованности применяемых физико-математических моделей и использованных методов расчета последствий аварии и пок</w:t>
      </w:r>
      <w:r>
        <w:t>азателей риска;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 правильности и достоверности выполненных расчетов по анализу риска, а также полноты учета факторов, влияющих на конечные результаты;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 вероятности реализации принятых сценариев аварий и возможности выхода поражающих факторов этих аварий з</w:t>
      </w:r>
      <w:r>
        <w:t>а границу опасного производственного объекта, а также последствиях воздействия поражающих факторов на население, другие объекты, окружающую среду;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 достаточности мер предотвращения проникновения на опасный производственный объект посторонних лиц.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38. При </w:t>
      </w:r>
      <w:r>
        <w:t>проведении экспертизы обоснования безопасности опасного производственного объекта или вносимых в него изменений в заключени</w:t>
      </w:r>
      <w:proofErr w:type="gramStart"/>
      <w:r>
        <w:t>и</w:t>
      </w:r>
      <w:proofErr w:type="gramEnd"/>
      <w:r>
        <w:t xml:space="preserve"> экспертизы должны содержаться следующие сведения: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оценка полноты и достоверности информации, представленной в обосновании безопасно</w:t>
      </w:r>
      <w:r>
        <w:t>сти;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оценка полноты и достаточности мероприятий, компенсирующих отступления от норм и правил в области промышленной безопасности;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оценка обоснованности результатов оценки риска аварий, в том числе адекватности применяемых физико-математических моделей и ис</w:t>
      </w:r>
      <w:r>
        <w:t xml:space="preserve">пользованных методов расчетов по оценке риска, правильности и достоверности этих расчетов, а также полноты учета всех факторов, </w:t>
      </w:r>
      <w:r>
        <w:lastRenderedPageBreak/>
        <w:t>влияющих на конечные результаты;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оценка учета современного опыта эксплуатации, капитального ремонта, консервации и ликвидации оп</w:t>
      </w:r>
      <w:r>
        <w:t>асных производственных объектов в обосновании безопасности;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оценка полноты требований к эксплуатации, капитальному ремонту, консервации или ликвидации опасного производственного объекта, установленных в обосновании безопасности.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39. Утратил силу с 1 марта </w:t>
      </w:r>
      <w:r>
        <w:t xml:space="preserve">2023 года. - </w:t>
      </w:r>
      <w:hyperlink r:id="rId60" w:tooltip="Приказ Ростехнадзора от 13.04.2022 N 120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">
        <w:r>
          <w:rPr>
            <w:color w:val="0000FF"/>
          </w:rPr>
          <w:t>Приказ</w:t>
        </w:r>
      </w:hyperlink>
      <w:r>
        <w:t xml:space="preserve"> Ростехнадзора от 13.04.2022 N 120.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40. </w:t>
      </w:r>
      <w:proofErr w:type="gramStart"/>
      <w:r>
        <w:t>Заключение экспертизы не позднее 90 календарных дней со дня его подп</w:t>
      </w:r>
      <w:r>
        <w:t>исания руководителем организации, проводившей экспертизу, представляется заказчиком в федеральный орган исполнительной власти, осуществляющий контрольные и (или) надзорные функции в области промышленной безопасности на опасном производственном объекте, в о</w:t>
      </w:r>
      <w:r>
        <w:t>тношении которого проведена экспертиза (его территориальный орган), для внесения в реестр заключений экспертизы промышленной безопасности. &lt;15&gt;</w:t>
      </w:r>
      <w:proofErr w:type="gramEnd"/>
    </w:p>
    <w:p w:rsidR="007B5FE5" w:rsidRDefault="005F60DC">
      <w:pPr>
        <w:pStyle w:val="ConsPlusNormal0"/>
        <w:jc w:val="both"/>
      </w:pPr>
      <w:r>
        <w:t xml:space="preserve">(в ред. </w:t>
      </w:r>
      <w:hyperlink r:id="rId61" w:tooltip="Приказ Ростехнадзора от 29.01.2025 N 29 &quot;О внесении изменений в федеральные нормы и правила в области промышленной безопасности &quot;Правила проведения экспертизы промышленной безопасности&quot;, утвержденные приказом Федеральной службы по экологическому, технологическ">
        <w:r>
          <w:rPr>
            <w:color w:val="0000FF"/>
          </w:rPr>
          <w:t>Приказа</w:t>
        </w:r>
      </w:hyperlink>
      <w:r>
        <w:t xml:space="preserve"> Ростехнадзора от 29.01.2025 N 29)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7B5FE5" w:rsidRDefault="005F60DC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6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------------ Недействующая редакция {КонсультантПлюс}">
        <w:r>
          <w:rPr>
            <w:color w:val="0000FF"/>
          </w:rPr>
          <w:t>Пункт 5 статьи 13</w:t>
        </w:r>
      </w:hyperlink>
      <w:r>
        <w:t xml:space="preserve"> Федерального закона от 21 июля 1997 г. N 116-</w:t>
      </w:r>
      <w:r>
        <w:t>ФЗ "О промышленной безопасности опасных производственных объектов".</w:t>
      </w:r>
    </w:p>
    <w:p w:rsidR="007B5FE5" w:rsidRDefault="007B5FE5">
      <w:pPr>
        <w:pStyle w:val="ConsPlusNormal0"/>
        <w:jc w:val="both"/>
      </w:pPr>
    </w:p>
    <w:p w:rsidR="007B5FE5" w:rsidRDefault="007B5FE5">
      <w:pPr>
        <w:pStyle w:val="ConsPlusNormal0"/>
        <w:jc w:val="both"/>
      </w:pPr>
    </w:p>
    <w:p w:rsidR="007B5FE5" w:rsidRDefault="007B5F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5FE5" w:rsidSect="00160DC3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709" w:right="566" w:bottom="993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DC" w:rsidRDefault="005F60DC">
      <w:r>
        <w:separator/>
      </w:r>
    </w:p>
  </w:endnote>
  <w:endnote w:type="continuationSeparator" w:id="0">
    <w:p w:rsidR="005F60DC" w:rsidRDefault="005F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E5" w:rsidRDefault="007B5F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5FE5" w:rsidRDefault="005F60D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E5" w:rsidRDefault="007B5F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5FE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5FE5" w:rsidRDefault="007B5FE5">
          <w:pPr>
            <w:pStyle w:val="ConsPlusNormal0"/>
          </w:pPr>
        </w:p>
      </w:tc>
      <w:tc>
        <w:tcPr>
          <w:tcW w:w="1700" w:type="pct"/>
          <w:vAlign w:val="center"/>
        </w:tcPr>
        <w:p w:rsidR="007B5FE5" w:rsidRDefault="007B5FE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B5FE5" w:rsidRDefault="007B5FE5">
          <w:pPr>
            <w:pStyle w:val="ConsPlusNormal0"/>
            <w:jc w:val="right"/>
          </w:pPr>
        </w:p>
      </w:tc>
    </w:tr>
  </w:tbl>
  <w:p w:rsidR="007B5FE5" w:rsidRDefault="005F60D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DC" w:rsidRDefault="005F60DC">
      <w:r>
        <w:separator/>
      </w:r>
    </w:p>
  </w:footnote>
  <w:footnote w:type="continuationSeparator" w:id="0">
    <w:p w:rsidR="005F60DC" w:rsidRDefault="005F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B5FE5" w:rsidTr="00160DC3">
      <w:tblPrEx>
        <w:tblCellMar>
          <w:top w:w="0" w:type="dxa"/>
          <w:bottom w:w="0" w:type="dxa"/>
        </w:tblCellMar>
      </w:tblPrEx>
      <w:trPr>
        <w:trHeight w:hRule="exact" w:val="993"/>
      </w:trPr>
      <w:tc>
        <w:tcPr>
          <w:tcW w:w="2700" w:type="pct"/>
          <w:vAlign w:val="center"/>
        </w:tcPr>
        <w:p w:rsidR="007B5FE5" w:rsidRDefault="007B5FE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B5FE5" w:rsidRDefault="007B5FE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B5FE5" w:rsidRDefault="007B5F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5FE5" w:rsidRDefault="007B5FE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B5FE5" w:rsidTr="00160DC3">
      <w:tblPrEx>
        <w:tblCellMar>
          <w:top w:w="0" w:type="dxa"/>
          <w:bottom w:w="0" w:type="dxa"/>
        </w:tblCellMar>
      </w:tblPrEx>
      <w:trPr>
        <w:trHeight w:hRule="exact" w:val="709"/>
      </w:trPr>
      <w:tc>
        <w:tcPr>
          <w:tcW w:w="2700" w:type="pct"/>
          <w:vAlign w:val="center"/>
        </w:tcPr>
        <w:p w:rsidR="007B5FE5" w:rsidRDefault="007B5FE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B5FE5" w:rsidRDefault="007B5FE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B5FE5" w:rsidRDefault="007B5F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5FE5" w:rsidRDefault="007B5FE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E5"/>
    <w:rsid w:val="00160DC3"/>
    <w:rsid w:val="005F60DC"/>
    <w:rsid w:val="007B5FE5"/>
    <w:rsid w:val="00F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60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0D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DC3"/>
  </w:style>
  <w:style w:type="paragraph" w:styleId="a7">
    <w:name w:val="footer"/>
    <w:basedOn w:val="a"/>
    <w:link w:val="a8"/>
    <w:uiPriority w:val="99"/>
    <w:unhideWhenUsed/>
    <w:rsid w:val="00160D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60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0D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DC3"/>
  </w:style>
  <w:style w:type="paragraph" w:styleId="a7">
    <w:name w:val="footer"/>
    <w:basedOn w:val="a"/>
    <w:link w:val="a8"/>
    <w:uiPriority w:val="99"/>
    <w:unhideWhenUsed/>
    <w:rsid w:val="00160D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3210&amp;date=02.09.2025&amp;dst=100018&amp;field=134" TargetMode="External"/><Relationship Id="rId21" Type="http://schemas.openxmlformats.org/officeDocument/2006/relationships/hyperlink" Target="https://login.consultant.ru/link/?req=doc&amp;base=LAW&amp;n=471409&amp;date=02.09.2025&amp;dst=100013&amp;field=134" TargetMode="External"/><Relationship Id="rId34" Type="http://schemas.openxmlformats.org/officeDocument/2006/relationships/hyperlink" Target="https://login.consultant.ru/link/?req=doc&amp;base=LAW&amp;n=483176&amp;date=02.09.2025&amp;dst=265&amp;field=134" TargetMode="External"/><Relationship Id="rId42" Type="http://schemas.openxmlformats.org/officeDocument/2006/relationships/hyperlink" Target="https://login.consultant.ru/link/?req=doc&amp;base=LAW&amp;n=504075&amp;date=02.09.2025&amp;dst=100012&amp;field=134" TargetMode="External"/><Relationship Id="rId47" Type="http://schemas.openxmlformats.org/officeDocument/2006/relationships/hyperlink" Target="https://login.consultant.ru/link/?req=doc&amp;base=LAW&amp;n=483176&amp;date=02.09.2025&amp;dst=99&amp;field=134" TargetMode="External"/><Relationship Id="rId50" Type="http://schemas.openxmlformats.org/officeDocument/2006/relationships/hyperlink" Target="https://login.consultant.ru/link/?req=doc&amp;base=LAW&amp;n=504075&amp;date=02.09.2025&amp;dst=100015&amp;field=134" TargetMode="External"/><Relationship Id="rId55" Type="http://schemas.openxmlformats.org/officeDocument/2006/relationships/hyperlink" Target="https://login.consultant.ru/link/?req=doc&amp;base=LAW&amp;n=504075&amp;date=02.09.2025&amp;dst=100044&amp;field=134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8589&amp;date=02.09.2025&amp;dst=100006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924&amp;date=02.09.2025&amp;dst=100148&amp;field=134" TargetMode="External"/><Relationship Id="rId29" Type="http://schemas.openxmlformats.org/officeDocument/2006/relationships/hyperlink" Target="https://login.consultant.ru/link/?req=doc&amp;base=LAW&amp;n=471409&amp;date=02.09.2025&amp;dst=100102&amp;field=134" TargetMode="External"/><Relationship Id="rId11" Type="http://schemas.openxmlformats.org/officeDocument/2006/relationships/hyperlink" Target="https://login.consultant.ru/link/?req=doc&amp;base=LAW&amp;n=506878&amp;date=02.09.2025&amp;dst=100240&amp;field=134" TargetMode="External"/><Relationship Id="rId24" Type="http://schemas.openxmlformats.org/officeDocument/2006/relationships/hyperlink" Target="https://login.consultant.ru/link/?req=doc&amp;base=LAW&amp;n=473210&amp;date=02.09.2025&amp;dst=100016&amp;field=134" TargetMode="External"/><Relationship Id="rId32" Type="http://schemas.openxmlformats.org/officeDocument/2006/relationships/hyperlink" Target="https://login.consultant.ru/link/?req=doc&amp;base=LAW&amp;n=483176&amp;date=02.09.2025&amp;dst=277&amp;field=134" TargetMode="External"/><Relationship Id="rId37" Type="http://schemas.openxmlformats.org/officeDocument/2006/relationships/hyperlink" Target="https://login.consultant.ru/link/?req=doc&amp;base=LAW&amp;n=483176&amp;date=02.09.2025&amp;dst=137&amp;field=134" TargetMode="External"/><Relationship Id="rId40" Type="http://schemas.openxmlformats.org/officeDocument/2006/relationships/hyperlink" Target="https://login.consultant.ru/link/?req=doc&amp;base=LAW&amp;n=483176&amp;date=02.09.2025&amp;dst=265&amp;field=134" TargetMode="External"/><Relationship Id="rId45" Type="http://schemas.openxmlformats.org/officeDocument/2006/relationships/hyperlink" Target="https://login.consultant.ru/link/?req=doc&amp;base=LAW&amp;n=471409&amp;date=02.09.2025&amp;dst=100013&amp;field=134" TargetMode="External"/><Relationship Id="rId53" Type="http://schemas.openxmlformats.org/officeDocument/2006/relationships/hyperlink" Target="https://login.consultant.ru/link/?req=doc&amp;base=LAW&amp;n=504075&amp;date=02.09.2025&amp;dst=100036&amp;field=134" TargetMode="External"/><Relationship Id="rId58" Type="http://schemas.openxmlformats.org/officeDocument/2006/relationships/hyperlink" Target="https://login.consultant.ru/link/?req=doc&amp;base=LAW&amp;n=504075&amp;date=02.09.2025&amp;dst=100056&amp;field=134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504075&amp;date=02.09.2025&amp;dst=100057&amp;field=134" TargetMode="External"/><Relationship Id="rId19" Type="http://schemas.openxmlformats.org/officeDocument/2006/relationships/hyperlink" Target="https://login.consultant.ru/link/?req=doc&amp;base=LAW&amp;n=513136&amp;date=02.09.2025&amp;dst=283&amp;field=134" TargetMode="External"/><Relationship Id="rId14" Type="http://schemas.openxmlformats.org/officeDocument/2006/relationships/hyperlink" Target="https://login.consultant.ru/link/?req=doc&amp;base=LAW&amp;n=504075&amp;date=02.09.2025&amp;dst=100006&amp;field=134" TargetMode="External"/><Relationship Id="rId22" Type="http://schemas.openxmlformats.org/officeDocument/2006/relationships/hyperlink" Target="https://login.consultant.ru/link/?req=doc&amp;base=LAW&amp;n=473210&amp;date=02.09.2025&amp;dst=100014&amp;field=134" TargetMode="External"/><Relationship Id="rId27" Type="http://schemas.openxmlformats.org/officeDocument/2006/relationships/hyperlink" Target="https://login.consultant.ru/link/?req=doc&amp;base=LAW&amp;n=471409&amp;date=02.09.2025&amp;dst=100102&amp;field=134" TargetMode="External"/><Relationship Id="rId30" Type="http://schemas.openxmlformats.org/officeDocument/2006/relationships/hyperlink" Target="https://login.consultant.ru/link/?req=doc&amp;base=LAW&amp;n=473210&amp;date=02.09.2025&amp;dst=100022&amp;field=134" TargetMode="External"/><Relationship Id="rId35" Type="http://schemas.openxmlformats.org/officeDocument/2006/relationships/hyperlink" Target="https://login.consultant.ru/link/?req=doc&amp;base=LAW&amp;n=483176&amp;date=02.09.2025&amp;dst=133&amp;field=134" TargetMode="External"/><Relationship Id="rId43" Type="http://schemas.openxmlformats.org/officeDocument/2006/relationships/hyperlink" Target="https://login.consultant.ru/link/?req=doc&amp;base=LAW&amp;n=494998&amp;date=02.09.2025" TargetMode="External"/><Relationship Id="rId48" Type="http://schemas.openxmlformats.org/officeDocument/2006/relationships/hyperlink" Target="https://login.consultant.ru/link/?req=doc&amp;base=LAW&amp;n=471409&amp;date=02.09.2025&amp;dst=100013&amp;field=134" TargetMode="External"/><Relationship Id="rId56" Type="http://schemas.openxmlformats.org/officeDocument/2006/relationships/hyperlink" Target="https://login.consultant.ru/link/?req=doc&amp;base=LAW&amp;n=483176&amp;date=02.09.2025&amp;dst=268&amp;field=134" TargetMode="External"/><Relationship Id="rId64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73210&amp;date=02.09.2025&amp;dst=100006&amp;field=134" TargetMode="External"/><Relationship Id="rId51" Type="http://schemas.openxmlformats.org/officeDocument/2006/relationships/hyperlink" Target="https://login.consultant.ru/link/?req=doc&amp;base=LAW&amp;n=504075&amp;date=02.09.2025&amp;dst=100022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8589&amp;date=02.09.2025&amp;dst=100006&amp;field=134" TargetMode="External"/><Relationship Id="rId17" Type="http://schemas.openxmlformats.org/officeDocument/2006/relationships/hyperlink" Target="https://login.consultant.ru/link/?req=doc&amp;base=LAW&amp;n=473210&amp;date=02.09.2025&amp;dst=100011&amp;field=134" TargetMode="External"/><Relationship Id="rId25" Type="http://schemas.openxmlformats.org/officeDocument/2006/relationships/hyperlink" Target="https://login.consultant.ru/link/?req=doc&amp;base=LAW&amp;n=471409&amp;date=02.09.2025&amp;dst=100102&amp;field=134" TargetMode="External"/><Relationship Id="rId33" Type="http://schemas.openxmlformats.org/officeDocument/2006/relationships/hyperlink" Target="https://login.consultant.ru/link/?req=doc&amp;base=LAW&amp;n=483176&amp;date=02.09.2025&amp;dst=267&amp;field=134" TargetMode="External"/><Relationship Id="rId38" Type="http://schemas.openxmlformats.org/officeDocument/2006/relationships/hyperlink" Target="https://login.consultant.ru/link/?req=doc&amp;base=LAW&amp;n=483176&amp;date=02.09.2025&amp;dst=138&amp;field=134" TargetMode="External"/><Relationship Id="rId46" Type="http://schemas.openxmlformats.org/officeDocument/2006/relationships/hyperlink" Target="https://login.consultant.ru/link/?req=doc&amp;base=LAW&amp;n=471409&amp;date=02.09.2025&amp;dst=100013&amp;field=134" TargetMode="External"/><Relationship Id="rId59" Type="http://schemas.openxmlformats.org/officeDocument/2006/relationships/hyperlink" Target="https://login.consultant.ru/link/?req=doc&amp;base=LAW&amp;n=418589&amp;date=02.09.2025&amp;dst=100014&amp;field=13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3210&amp;date=02.09.2025&amp;dst=100012&amp;field=134" TargetMode="External"/><Relationship Id="rId41" Type="http://schemas.openxmlformats.org/officeDocument/2006/relationships/hyperlink" Target="https://login.consultant.ru/link/?req=doc&amp;base=LAW&amp;n=483176&amp;date=02.09.2025&amp;dst=267&amp;field=134" TargetMode="External"/><Relationship Id="rId54" Type="http://schemas.openxmlformats.org/officeDocument/2006/relationships/hyperlink" Target="https://login.consultant.ru/link/?req=doc&amp;base=LAW&amp;n=372899&amp;date=02.09.2025&amp;dst=100169&amp;field=134" TargetMode="External"/><Relationship Id="rId62" Type="http://schemas.openxmlformats.org/officeDocument/2006/relationships/hyperlink" Target="https://login.consultant.ru/link/?req=doc&amp;base=LAW&amp;n=483176&amp;date=02.09.2025&amp;dst=26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76&amp;date=02.09.2025&amp;dst=132&amp;field=134" TargetMode="External"/><Relationship Id="rId23" Type="http://schemas.openxmlformats.org/officeDocument/2006/relationships/hyperlink" Target="https://login.consultant.ru/link/?req=doc&amp;base=LAW&amp;n=483176&amp;date=02.09.2025&amp;dst=100318&amp;field=134" TargetMode="External"/><Relationship Id="rId28" Type="http://schemas.openxmlformats.org/officeDocument/2006/relationships/hyperlink" Target="https://login.consultant.ru/link/?req=doc&amp;base=LAW&amp;n=473210&amp;date=02.09.2025&amp;dst=100020&amp;field=134" TargetMode="External"/><Relationship Id="rId36" Type="http://schemas.openxmlformats.org/officeDocument/2006/relationships/hyperlink" Target="https://login.consultant.ru/link/?req=doc&amp;base=LAW&amp;n=483176&amp;date=02.09.2025&amp;dst=134&amp;field=134" TargetMode="External"/><Relationship Id="rId49" Type="http://schemas.openxmlformats.org/officeDocument/2006/relationships/hyperlink" Target="https://login.consultant.ru/link/?req=doc&amp;base=LAW&amp;n=483176&amp;date=02.09.2025&amp;dst=99&amp;field=134" TargetMode="External"/><Relationship Id="rId57" Type="http://schemas.openxmlformats.org/officeDocument/2006/relationships/hyperlink" Target="https://login.consultant.ru/link/?req=doc&amp;base=LAW&amp;n=418589&amp;date=02.09.2025&amp;dst=100013&amp;field=134" TargetMode="External"/><Relationship Id="rId10" Type="http://schemas.openxmlformats.org/officeDocument/2006/relationships/hyperlink" Target="https://login.consultant.ru/link/?req=doc&amp;base=LAW&amp;n=483176&amp;date=02.09.2025&amp;dst=1&amp;field=134" TargetMode="External"/><Relationship Id="rId31" Type="http://schemas.openxmlformats.org/officeDocument/2006/relationships/hyperlink" Target="https://login.consultant.ru/link/?req=doc&amp;base=LAW&amp;n=483176&amp;date=02.09.2025&amp;dst=282&amp;field=134" TargetMode="External"/><Relationship Id="rId44" Type="http://schemas.openxmlformats.org/officeDocument/2006/relationships/hyperlink" Target="https://login.consultant.ru/link/?req=doc&amp;base=LAW&amp;n=504075&amp;date=02.09.2025&amp;dst=100014&amp;field=134" TargetMode="External"/><Relationship Id="rId52" Type="http://schemas.openxmlformats.org/officeDocument/2006/relationships/hyperlink" Target="https://login.consultant.ru/link/?req=doc&amp;base=LAW&amp;n=504075&amp;date=02.09.2025&amp;dst=100025&amp;field=134" TargetMode="External"/><Relationship Id="rId60" Type="http://schemas.openxmlformats.org/officeDocument/2006/relationships/hyperlink" Target="https://login.consultant.ru/link/?req=doc&amp;base=LAW&amp;n=418589&amp;date=02.09.2025&amp;dst=100018&amp;field=134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4075&amp;date=02.09.2025&amp;dst=100006&amp;field=134" TargetMode="External"/><Relationship Id="rId13" Type="http://schemas.openxmlformats.org/officeDocument/2006/relationships/hyperlink" Target="https://login.consultant.ru/link/?req=doc&amp;base=LAW&amp;n=473210&amp;date=02.09.2025&amp;dst=100006&amp;field=134" TargetMode="External"/><Relationship Id="rId18" Type="http://schemas.openxmlformats.org/officeDocument/2006/relationships/hyperlink" Target="https://login.consultant.ru/link/?req=doc&amp;base=LAW&amp;n=483176&amp;date=02.09.2025&amp;dst=228&amp;field=134" TargetMode="External"/><Relationship Id="rId39" Type="http://schemas.openxmlformats.org/officeDocument/2006/relationships/hyperlink" Target="https://login.consultant.ru/link/?req=doc&amp;base=LAW&amp;n=504075&amp;date=02.09.2025&amp;dst=10001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7412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20.10.2020 N 420
(ред. от 29.01.2025)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vt:lpstr>
    </vt:vector>
  </TitlesOfParts>
  <Company>КонсультантПлюс Версия 4024.00.50</Company>
  <LinksUpToDate>false</LinksUpToDate>
  <CharactersWithSpaces>49562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20.10.2020 N 420
(ред. от 29.01.2025)
"Об утверждении федеральных норм и правил в области промышленной безопасности "Правила проведения экспертизы промышленной безопасности"
(Зарегистрировано в Минюсте России 11.12.2020 N 61391)</dc:title>
  <dc:creator>Оксана Федотова</dc:creator>
  <cp:lastModifiedBy>Оксана Федотова</cp:lastModifiedBy>
  <cp:revision>2</cp:revision>
  <dcterms:created xsi:type="dcterms:W3CDTF">2025-09-01T22:08:00Z</dcterms:created>
  <dcterms:modified xsi:type="dcterms:W3CDTF">2025-09-01T22:08:00Z</dcterms:modified>
</cp:coreProperties>
</file>